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1AA12" w14:textId="77777777" w:rsidR="00CC4BE7" w:rsidRPr="00584F14" w:rsidRDefault="00CC4BE7" w:rsidP="00CC4BE7">
      <w:pPr>
        <w:rPr>
          <w:b/>
          <w:bCs/>
          <w:sz w:val="24"/>
          <w:szCs w:val="24"/>
        </w:rPr>
      </w:pPr>
      <w:r w:rsidRPr="00584F14">
        <w:rPr>
          <w:b/>
          <w:bCs/>
          <w:sz w:val="24"/>
          <w:szCs w:val="24"/>
        </w:rPr>
        <w:t xml:space="preserve">Registr ReMig Český registr pacientů s migrénou na biologické terapii </w:t>
      </w:r>
    </w:p>
    <w:p w14:paraId="55A64AA1" w14:textId="317B2E19" w:rsidR="00CC4BE7" w:rsidRPr="00584F14" w:rsidRDefault="00CC4BE7" w:rsidP="00CC4BE7">
      <w:pPr>
        <w:rPr>
          <w:b/>
          <w:bCs/>
          <w:i/>
          <w:iCs/>
          <w:sz w:val="24"/>
          <w:szCs w:val="24"/>
        </w:rPr>
      </w:pPr>
      <w:r w:rsidRPr="00584F14">
        <w:rPr>
          <w:b/>
          <w:bCs/>
          <w:i/>
          <w:iCs/>
          <w:sz w:val="24"/>
          <w:szCs w:val="24"/>
        </w:rPr>
        <w:t>Souhrnná zpráva za rok 202</w:t>
      </w:r>
      <w:r>
        <w:rPr>
          <w:b/>
          <w:bCs/>
          <w:i/>
          <w:iCs/>
          <w:sz w:val="24"/>
          <w:szCs w:val="24"/>
        </w:rPr>
        <w:t>3</w:t>
      </w:r>
      <w:r w:rsidRPr="00584F14">
        <w:rPr>
          <w:b/>
          <w:bCs/>
          <w:i/>
          <w:iCs/>
          <w:sz w:val="24"/>
          <w:szCs w:val="24"/>
        </w:rPr>
        <w:t xml:space="preserve"> </w:t>
      </w:r>
    </w:p>
    <w:p w14:paraId="6789F760" w14:textId="77777777" w:rsidR="00CC4BE7" w:rsidRDefault="00CC4BE7" w:rsidP="00CC4BE7">
      <w:pPr>
        <w:rPr>
          <w:b/>
          <w:bCs/>
          <w:i/>
          <w:iCs/>
          <w:sz w:val="24"/>
          <w:szCs w:val="24"/>
        </w:rPr>
      </w:pPr>
      <w:r w:rsidRPr="00584F14">
        <w:rPr>
          <w:b/>
          <w:bCs/>
          <w:i/>
          <w:iCs/>
          <w:sz w:val="24"/>
          <w:szCs w:val="24"/>
        </w:rPr>
        <w:t>Zpracoval V/O s.r.o. pro nadační fond Hedalga</w:t>
      </w:r>
    </w:p>
    <w:p w14:paraId="0CD6AF90" w14:textId="77777777" w:rsidR="00CC4BE7" w:rsidRPr="00584F14" w:rsidRDefault="00CC4BE7" w:rsidP="00CC4BE7">
      <w:pPr>
        <w:rPr>
          <w:b/>
          <w:bCs/>
          <w:i/>
          <w:iCs/>
          <w:sz w:val="24"/>
          <w:szCs w:val="24"/>
        </w:rPr>
      </w:pPr>
    </w:p>
    <w:p w14:paraId="59BCF087" w14:textId="70B3E15B" w:rsidR="0060602A" w:rsidRDefault="0060602A">
      <w:r w:rsidRPr="0060602A">
        <w:t>ZÁVĚR</w:t>
      </w:r>
      <w:r w:rsidR="00CC4BE7">
        <w:t>:</w:t>
      </w:r>
    </w:p>
    <w:p w14:paraId="59D90347" w14:textId="77777777" w:rsidR="0060602A" w:rsidRDefault="0060602A" w:rsidP="00CC4BE7">
      <w:pPr>
        <w:ind w:firstLine="708"/>
      </w:pPr>
      <w:r w:rsidRPr="0060602A">
        <w:t xml:space="preserve">Registr ReMig zahrnuje pacienty léčené biologickou léčbou v centrech pro diagnostiku a léčbu bolestí hlavy v České republice. </w:t>
      </w:r>
    </w:p>
    <w:p w14:paraId="6F9393FC" w14:textId="77777777" w:rsidR="0060602A" w:rsidRDefault="0060602A">
      <w:r w:rsidRPr="0060602A">
        <w:t xml:space="preserve">Ke dni 31. 12. 2023 bylo v registru evidováno celkem 2 992 pacientů s dostupnými údaji o biologické léčbě z celkem 32 center. </w:t>
      </w:r>
    </w:p>
    <w:p w14:paraId="405C6039" w14:textId="77777777" w:rsidR="0060602A" w:rsidRDefault="0060602A">
      <w:r w:rsidRPr="0060602A">
        <w:t xml:space="preserve">V registru výrazně převažovaly ženy (87,4 %), průměrný věk byl ke konci roku 46,0 let a v době diagnózy bylo pacientům v průměru 19,1 let. </w:t>
      </w:r>
    </w:p>
    <w:p w14:paraId="78BF30B2" w14:textId="77777777" w:rsidR="0060602A" w:rsidRDefault="0060602A">
      <w:r w:rsidRPr="0060602A">
        <w:t xml:space="preserve">Nejvíce pacientů bylo pojištěno u Všeobecné zdravotní pojišťovny (48,2 %). </w:t>
      </w:r>
    </w:p>
    <w:p w14:paraId="1D50C8FE" w14:textId="77777777" w:rsidR="0060602A" w:rsidRDefault="0060602A">
      <w:r w:rsidRPr="0060602A">
        <w:t xml:space="preserve">V době poslední návštěvy pracovalo 72,1 % pacientů na plný úvazek. Migréna v rodinné anamnéze byla zaznamenána u 65,2 % pacientů. </w:t>
      </w:r>
    </w:p>
    <w:p w14:paraId="663F8F4F" w14:textId="77777777" w:rsidR="0060602A" w:rsidRDefault="0060602A">
      <w:r w:rsidRPr="0060602A">
        <w:t xml:space="preserve">Chronickou migrénu mělo celkem 26,5 % pacientů, zbylých 73,5 % mělo diagnózu epizodické migrény. Z toho se u 54,5 % jednalo o migrénu bez aury a 19,0 % pacientů mělo migrénu s aurou. </w:t>
      </w:r>
    </w:p>
    <w:p w14:paraId="03299182" w14:textId="77777777" w:rsidR="0060602A" w:rsidRDefault="0060602A">
      <w:r w:rsidRPr="0060602A">
        <w:t xml:space="preserve">Většina pacientů (59,7 %) si nepamatuje žádnou spouštěcí událost migrény. Pro 12,4 % pacientů byl spouštěcí událostí stres, 12,1 % pacientek uvedlo jako spouštěcí událost první menstruaci. </w:t>
      </w:r>
    </w:p>
    <w:p w14:paraId="14F8159D" w14:textId="77777777" w:rsidR="0060602A" w:rsidRDefault="0060602A">
      <w:r w:rsidRPr="0060602A">
        <w:t xml:space="preserve">Většina pacientů (99,0 %) byla před nasazením biologické léčby léčena antiepileptiky. Dohromady 46,4 % pacientů bylo léčeno antidepresivy a celkem 55,3 % pacientů pak bylo léčeno blokátory kalciového kanálu. </w:t>
      </w:r>
    </w:p>
    <w:p w14:paraId="23E0E33A" w14:textId="77777777" w:rsidR="0060602A" w:rsidRDefault="0060602A">
      <w:r w:rsidRPr="0060602A">
        <w:t xml:space="preserve">K datu poslední návštěvy mělo 57,0 % pacientů alespoň jedno přidružené onemocnění. </w:t>
      </w:r>
    </w:p>
    <w:p w14:paraId="30190DD3" w14:textId="77777777" w:rsidR="0060602A" w:rsidRDefault="0060602A">
      <w:r w:rsidRPr="0060602A">
        <w:t xml:space="preserve">V roce 2023 svou první biologickou léčbu zahájilo celkem 1 179 pacientů. Celkem 42 pacientů bylo převedeno na jiný léčivý přípravek, 23 pacientů léčbu plánovaně přerušilo a 179 pacientů léčbu ukončilo biologickou léčbu a do konce roku znovu nezahájilo. Biologická léčba byla analyzována u celkem 2 644 pacientů, kteří měli neukončenou biologickou léčbou na konci sledovaného roku a alespoň jednu dostupnou návštěvu v průběhu této léčby ve sledovaném roce 2023. Kontrolní návštěva po roce léčby byla zaznamenána u 55,6 % pacientů, dvouleté sledování aktuální léčby mělo celkem 22,1 % pacientů a tříleté sledování bylo dostupné u 1,0 % pacientů. Výsledky v tomto časovém okamžiku je tedy potřeba z důvodu malého počtu pozorování brát obezřetně. </w:t>
      </w:r>
    </w:p>
    <w:p w14:paraId="07111AD5" w14:textId="77777777" w:rsidR="0060602A" w:rsidRDefault="0060602A">
      <w:r w:rsidRPr="0060602A">
        <w:t xml:space="preserve">Ke konci roku 2023 byla v registru zaznamenána léčba čtyřmi biologickými léčivými přípravky. Nejvíce pacientů bylo léčeno přípravkem Aimovig (erenumab) (38,7 %). Dalších 35,3 % pacientů bylo léčeno přípravkem Ajovy (fremanezumab), 21,6 % pacientů bylo léčeno přípravkem Emgality (galkanezumab) a 4,5 % pacientů bylo léčeno přípravkem Vyepti (eptinezumab). </w:t>
      </w:r>
    </w:p>
    <w:p w14:paraId="2BE6B9B3" w14:textId="77777777" w:rsidR="0060602A" w:rsidRDefault="0060602A">
      <w:r w:rsidRPr="0060602A">
        <w:t xml:space="preserve">Při zahájení biologické léčby potřebovalo akutní léčbu migrény celkem 98,4 % pacientů. Tento podíl v průběhu léčby klesal, po dvou letech léčby to bylo 86,8 % pacientů. </w:t>
      </w:r>
    </w:p>
    <w:p w14:paraId="2E2CFDBE" w14:textId="77777777" w:rsidR="0060602A" w:rsidRDefault="0060602A">
      <w:r w:rsidRPr="0060602A">
        <w:t xml:space="preserve">Před zahájením biologické léčby byla průměrná hodnota MMD, tj. počet dní s migrénou za měsíc, 11,6 dní. Po zahájení biologické léčby došlo k výraznému poklesu, po roce léčby bylo průměrně 2,9 </w:t>
      </w:r>
      <w:r w:rsidRPr="0060602A">
        <w:lastRenderedPageBreak/>
        <w:t xml:space="preserve">MMD a po dvou letech léčby byla průměrná hodnota MMD rovna 2,5 dní. Hodnoty MMD před léčbou a v průběhu léčby byly srovnatelné i pro jednotlivé biologické léčivé přípravky. </w:t>
      </w:r>
    </w:p>
    <w:p w14:paraId="041613AC" w14:textId="4D6EC94A" w:rsidR="0060602A" w:rsidRDefault="0060602A">
      <w:r w:rsidRPr="0060602A">
        <w:t xml:space="preserve">Nadužívání akutní medikace bylo při zahájení aktuální biologické léčby zaznamenáno u 34,1 % pacientů. Po dvou letech léčby mělo MO celkem 0,1 % pacientů. </w:t>
      </w:r>
    </w:p>
    <w:p w14:paraId="5BBCF7B4" w14:textId="77777777" w:rsidR="0060602A" w:rsidRDefault="0060602A">
      <w:r w:rsidRPr="0060602A">
        <w:t xml:space="preserve"> V rámci registru ReMig jsou sbírané i vybrané pacientské dotazníky. Tyto dotazníky vyplňují pacienti elektronicky, a to vždy v době kontrolní návštěvy u lékaře. Byly analyzovány dotazníky pacientů s neukončenou biologickou léčbou na konci sledovaného roku 2023. </w:t>
      </w:r>
    </w:p>
    <w:p w14:paraId="35A952D2" w14:textId="77777777" w:rsidR="0060602A" w:rsidRDefault="0060602A">
      <w:r w:rsidRPr="0060602A">
        <w:t>Z celkem 2 644 pacientů mělo alespoň 1 vyplněný dotazník 1 530 pacientů (57,9 %). Jednotlivé dotazníky byly vyhodnoceny vždy v ročních intervalech, tj. v době zahájení aktuální biologické léčby, po roce této léčby, po dvou letech a po třech letech této léčby. Kohorty pacientů na zahajovací návštěvě a v jednotlivých letech jsou odlišné, výsledky je tedy potřeba interpretovat jako popis stavu před léčbou a v jednotlivých letech biologické léčby. Na zahajovací návštěvě aktuální léčby mělo dotazník vyplněno celkem 910 pacientů z 2 644 pacientů se zahajovací návštěvou. Po dvou letech léčby mělo vyplněný dotazník 319 pacientů z 584 s návštěvou po dvou letech biologické léčby.</w:t>
      </w:r>
    </w:p>
    <w:p w14:paraId="57FF7FCF" w14:textId="77777777" w:rsidR="0060602A" w:rsidRDefault="0060602A">
      <w:r w:rsidRPr="0060602A">
        <w:t xml:space="preserve">Ztráta pracovní produktivity formou absencí v práci byla v době zahájení aktuální léčby v průměru 11,4, což značí ztrátu produktivity v průměru 11,4 %. Po dvou letech léčby byla ztráta pracovní produktivity v průměru 2,1 %. </w:t>
      </w:r>
    </w:p>
    <w:p w14:paraId="7A0B020C" w14:textId="77777777" w:rsidR="0060602A" w:rsidRDefault="0060602A">
      <w:r w:rsidRPr="0060602A">
        <w:t xml:space="preserve">Presentismus udávající sníženou produktivitu v práci kvůli migréně činil v době zahájení aktuální léčby v průměru 48,8 %, po dvou letech léčby byla produktivita v práci snížena kvůli migréně průměrně o 14,7 %. Celková ztráta pracovní produktivity pacientů při zahájení aktuální biologické léčby byla průměrně 51,9 %, po dvou letech léčby byla ztráta v průměru 15,6 %. </w:t>
      </w:r>
    </w:p>
    <w:p w14:paraId="1150E66D" w14:textId="77777777" w:rsidR="0060602A" w:rsidRDefault="0060602A">
      <w:r w:rsidRPr="0060602A">
        <w:t xml:space="preserve">Zhoršení běžných, tj. nepracovních aktivit kvůli migréně bylo v průměru 57,8 % při zahájení léčby a 18,5 % po dvou letech biologické léčby. Při zahájení biologické léčby měla migréna žádný/malý nebo střední vliv u celkem 4,3 % pacientů, značný nebo obrovský vliv migrény zaznamenalo dohromady 95,7 % pacientů. Po dvou letech léčby mělo celkem 59,4 % pacientů žádný/malý nebo střední vliv migrény, u 40,6 % pacientů byl stále zaznamenán značný nebo obrovský vliv. </w:t>
      </w:r>
    </w:p>
    <w:p w14:paraId="32B44983" w14:textId="77777777" w:rsidR="0060602A" w:rsidRDefault="0060602A">
      <w:r w:rsidRPr="0060602A">
        <w:t xml:space="preserve">Dotazník kvality života (EQ-5D) hodnotí 5 dimenzí kvality života: mobilitu, sebeobsluhu, běžné denní aktivity, bolest/nepohodu a úzkost/depresi. Průměrná utilita na zahajovací návštěvě aktuální léčby byla 0,75, po dvou letech léčby byla utilita rovna 0,88. </w:t>
      </w:r>
    </w:p>
    <w:p w14:paraId="26C402F9" w14:textId="77777777" w:rsidR="0060602A" w:rsidRDefault="0060602A">
      <w:r w:rsidRPr="0060602A">
        <w:t xml:space="preserve">Aktuální zdravotní stav pacienti dále hodnotili na vizuální analogové škále (VAS), která byla součástí dotazníku EQ-5D. Průměrná hodnota při zahájení aktuální léčby byla 65,6, po dvou letech léčby to bylo 76,0. </w:t>
      </w:r>
    </w:p>
    <w:p w14:paraId="10467C4C" w14:textId="77777777" w:rsidR="0060602A" w:rsidRDefault="0060602A">
      <w:r w:rsidRPr="0060602A">
        <w:t xml:space="preserve">V době zahájení aktuální léčby bylo bez deprese celkem 24,3 % pacientů, střední nebo závažnou depresi mělo dohromady 23,6 % pacientů. Po dvou letech léčby bylo bez deprese dohromady 58,3 % pacientů, střední nebo závažná deprese byla zaznamenána u celkem 5,0 % pacientů. </w:t>
      </w:r>
    </w:p>
    <w:p w14:paraId="1D87D76B" w14:textId="48B2D948" w:rsidR="00000000" w:rsidRDefault="0060602A">
      <w:r w:rsidRPr="0060602A">
        <w:t>V registru bylo v roce 2023 zaznamenáno dohromady 100 nežádoucích účinků u celkem 88 pacientů (2,9 %). Z toho 1 nežádoucí účinek byl závažný (0,0 %)</w:t>
      </w:r>
    </w:p>
    <w:sectPr w:rsidR="00C3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95"/>
    <w:rsid w:val="0056353A"/>
    <w:rsid w:val="005E1C95"/>
    <w:rsid w:val="0060602A"/>
    <w:rsid w:val="00925CED"/>
    <w:rsid w:val="009953C1"/>
    <w:rsid w:val="00CC4BE7"/>
    <w:rsid w:val="00D0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44C9"/>
  <w15:chartTrackingRefBased/>
  <w15:docId w15:val="{94BAFAE0-E386-4383-9C45-AE54C813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884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Bártek</dc:creator>
  <cp:keywords/>
  <dc:description/>
  <cp:lastModifiedBy>Stanislav Bártek</cp:lastModifiedBy>
  <cp:revision>3</cp:revision>
  <dcterms:created xsi:type="dcterms:W3CDTF">2025-02-04T19:28:00Z</dcterms:created>
  <dcterms:modified xsi:type="dcterms:W3CDTF">2025-02-04T19:36:00Z</dcterms:modified>
</cp:coreProperties>
</file>